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2C3B2" w14:textId="2BBADC43" w:rsidR="005F1F19" w:rsidRPr="005F1F19" w:rsidRDefault="00C433E8" w:rsidP="005F1F19">
      <w:pPr>
        <w:widowControl/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5C9">
        <w:rPr>
          <w:rFonts w:ascii="Times New Roman" w:eastAsia="標楷體" w:hAnsi="Times New Roman" w:cs="Times New Roman"/>
          <w:b/>
          <w:sz w:val="36"/>
          <w:szCs w:val="36"/>
        </w:rPr>
        <w:t>202</w:t>
      </w:r>
      <w:r w:rsidR="005F1F19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="005F1F19" w:rsidRPr="005F1F19">
        <w:rPr>
          <w:rFonts w:ascii="Times New Roman" w:eastAsia="標楷體" w:hAnsi="Times New Roman" w:cs="Times New Roman" w:hint="eastAsia"/>
          <w:b/>
          <w:sz w:val="36"/>
          <w:szCs w:val="36"/>
        </w:rPr>
        <w:t>社會企業與永續發展研討會</w:t>
      </w:r>
    </w:p>
    <w:p w14:paraId="76BCDDBC" w14:textId="5ABC0CD1" w:rsidR="006C166C" w:rsidRPr="005F1F19" w:rsidRDefault="006C166C" w:rsidP="00C433E8">
      <w:pPr>
        <w:widowControl/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46937533" w14:textId="3452FB35" w:rsidR="0035376D" w:rsidRPr="00C775C9" w:rsidRDefault="006C166C" w:rsidP="006C166C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5C9">
        <w:rPr>
          <w:rFonts w:ascii="Times New Roman" w:eastAsia="標楷體" w:hAnsi="Times New Roman" w:cs="Times New Roman"/>
          <w:b/>
          <w:sz w:val="36"/>
          <w:szCs w:val="36"/>
        </w:rPr>
        <w:t>論文範例格式</w:t>
      </w:r>
      <w:r w:rsidR="00C775C9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C775C9">
        <w:rPr>
          <w:rFonts w:ascii="Times New Roman" w:eastAsia="標楷體" w:hAnsi="Times New Roman" w:cs="Times New Roman" w:hint="eastAsia"/>
          <w:b/>
          <w:sz w:val="36"/>
          <w:szCs w:val="36"/>
        </w:rPr>
        <w:t>請以</w:t>
      </w:r>
      <w:r w:rsidR="00AD10B3">
        <w:rPr>
          <w:rFonts w:ascii="Times New Roman" w:eastAsia="標楷體" w:hAnsi="Times New Roman" w:cs="Times New Roman" w:hint="eastAsia"/>
          <w:b/>
          <w:sz w:val="36"/>
          <w:szCs w:val="36"/>
        </w:rPr>
        <w:t>3-</w:t>
      </w:r>
      <w:r w:rsidR="00FF5EF1">
        <w:rPr>
          <w:rFonts w:ascii="Times New Roman" w:eastAsia="標楷體" w:hAnsi="Times New Roman" w:cs="Times New Roman" w:hint="eastAsia"/>
          <w:b/>
          <w:sz w:val="36"/>
          <w:szCs w:val="36"/>
        </w:rPr>
        <w:t>15</w:t>
      </w:r>
      <w:r w:rsidR="00C775C9">
        <w:rPr>
          <w:rFonts w:ascii="Times New Roman" w:eastAsia="標楷體" w:hAnsi="Times New Roman" w:cs="Times New Roman" w:hint="eastAsia"/>
          <w:b/>
          <w:sz w:val="36"/>
          <w:szCs w:val="36"/>
        </w:rPr>
        <w:t>頁</w:t>
      </w:r>
      <w:bookmarkStart w:id="0" w:name="_GoBack"/>
      <w:bookmarkEnd w:id="0"/>
      <w:r w:rsidR="00AD10B3">
        <w:rPr>
          <w:rFonts w:ascii="Times New Roman" w:eastAsia="標楷體" w:hAnsi="Times New Roman" w:cs="Times New Roman" w:hint="eastAsia"/>
          <w:b/>
          <w:sz w:val="36"/>
          <w:szCs w:val="36"/>
        </w:rPr>
        <w:t>為限</w:t>
      </w:r>
      <w:r w:rsidR="00C775C9">
        <w:rPr>
          <w:rFonts w:ascii="Times New Roman" w:eastAsia="標楷體" w:hAnsi="Times New Roman" w:cs="Times New Roman" w:hint="eastAsia"/>
          <w:b/>
          <w:sz w:val="36"/>
          <w:szCs w:val="36"/>
        </w:rPr>
        <w:t>呈現</w:t>
      </w:r>
      <w:r w:rsidR="00C775C9">
        <w:rPr>
          <w:rFonts w:ascii="Times New Roman" w:eastAsia="標楷體" w:hAnsi="Times New Roman" w:cs="Times New Roman"/>
          <w:b/>
          <w:sz w:val="36"/>
          <w:szCs w:val="36"/>
        </w:rPr>
        <w:t>)</w:t>
      </w:r>
    </w:p>
    <w:p w14:paraId="220401C4" w14:textId="77777777" w:rsidR="006C166C" w:rsidRPr="00C775C9" w:rsidRDefault="006C166C" w:rsidP="006C166C">
      <w:pPr>
        <w:jc w:val="center"/>
        <w:rPr>
          <w:rFonts w:ascii="Times New Roman" w:eastAsia="標楷體" w:hAnsi="Times New Roman" w:cs="Times New Roman"/>
        </w:rPr>
      </w:pPr>
    </w:p>
    <w:p w14:paraId="0EC486AF" w14:textId="77777777" w:rsidR="006C166C" w:rsidRPr="00C775C9" w:rsidRDefault="006C166C" w:rsidP="006C166C">
      <w:pPr>
        <w:pStyle w:val="1"/>
        <w:keepNext w:val="0"/>
        <w:widowControl/>
        <w:autoSpaceDE w:val="0"/>
        <w:autoSpaceDN w:val="0"/>
        <w:adjustRightInd w:val="0"/>
        <w:snapToGrid w:val="0"/>
        <w:spacing w:beforeLines="100" w:before="360" w:afterLines="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 w:rsidRPr="00C775C9">
        <w:rPr>
          <w:rFonts w:ascii="Times New Roman" w:hAnsi="Times New Roman" w:cs="Times New Roman"/>
          <w:kern w:val="0"/>
          <w:sz w:val="36"/>
          <w:szCs w:val="36"/>
        </w:rPr>
        <w:t>論文題目（標楷體</w:t>
      </w:r>
      <w:r w:rsidRPr="00C775C9">
        <w:rPr>
          <w:rFonts w:ascii="Times New Roman" w:hAnsi="Times New Roman" w:cs="Times New Roman"/>
          <w:kern w:val="0"/>
          <w:sz w:val="36"/>
          <w:szCs w:val="36"/>
        </w:rPr>
        <w:t>,</w:t>
      </w:r>
      <w:r w:rsidRPr="00C775C9">
        <w:rPr>
          <w:rFonts w:ascii="Times New Roman" w:hAnsi="Times New Roman" w:cs="Times New Roman"/>
          <w:kern w:val="0"/>
          <w:sz w:val="36"/>
          <w:szCs w:val="36"/>
        </w:rPr>
        <w:t>粗體</w:t>
      </w:r>
      <w:r w:rsidRPr="00C775C9">
        <w:rPr>
          <w:rFonts w:ascii="Times New Roman" w:hAnsi="Times New Roman" w:cs="Times New Roman"/>
          <w:kern w:val="0"/>
          <w:sz w:val="36"/>
          <w:szCs w:val="36"/>
        </w:rPr>
        <w:t>#18</w:t>
      </w:r>
      <w:r w:rsidRPr="00C775C9">
        <w:rPr>
          <w:rFonts w:ascii="Times New Roman" w:hAnsi="Times New Roman" w:cs="Times New Roman"/>
          <w:kern w:val="0"/>
          <w:sz w:val="36"/>
          <w:szCs w:val="36"/>
        </w:rPr>
        <w:t>）</w:t>
      </w:r>
    </w:p>
    <w:p w14:paraId="246FB02F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 xml:space="preserve">Topic of Article </w:t>
      </w:r>
      <w:r w:rsidRPr="00C775C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（</w:t>
      </w:r>
      <w:r w:rsidRPr="00C775C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Times New Roman, Bold #16</w:t>
      </w:r>
      <w:r w:rsidRPr="00C775C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）</w:t>
      </w:r>
    </w:p>
    <w:p w14:paraId="6BC6AEEC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kern w:val="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3"/>
        <w:gridCol w:w="4153"/>
      </w:tblGrid>
      <w:tr w:rsidR="006C166C" w:rsidRPr="00C775C9" w14:paraId="12EEF2D4" w14:textId="77777777" w:rsidTr="00170F0B">
        <w:trPr>
          <w:jc w:val="center"/>
        </w:trPr>
        <w:tc>
          <w:tcPr>
            <w:tcW w:w="4348" w:type="dxa"/>
          </w:tcPr>
          <w:p w14:paraId="40318840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論文作者一（標楷體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4744C41C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論文作者所屬單位（標楷體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34243D3D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職稱（標楷體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6D4E298B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Times New Roman,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4348" w:type="dxa"/>
          </w:tcPr>
          <w:p w14:paraId="6A9CB846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論文作者二（標楷體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19563C29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論文作者所屬單位（標楷體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1C4EA57F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職稱（標楷體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  <w:p w14:paraId="102FC03F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Times New Roman, #12</w:t>
            </w:r>
            <w:r w:rsidRPr="00C775C9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</w:tr>
    </w:tbl>
    <w:p w14:paraId="73E65C7F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摘要（標楷體，置中，粗體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#12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</w:p>
    <w:p w14:paraId="677757CA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afterLines="50" w:after="180"/>
        <w:ind w:firstLineChars="200" w:firstLine="400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中文摘要內容字數限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400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字以內，字體大小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點，中文字型標楷體，英文字型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Times New Roman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，單行間距，第一行縮排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字元，左右對齊，與後段距離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0.5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行，不貼齊格線。</w:t>
      </w:r>
    </w:p>
    <w:p w14:paraId="686FD0B3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關鍵詞：標楷體</w:t>
      </w: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10</w:t>
      </w: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點、粗體、單行間距、</w:t>
      </w: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3~5</w:t>
      </w: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組關鍵詞</w:t>
      </w:r>
    </w:p>
    <w:p w14:paraId="24A64795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Abstract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（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Times New Roman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，置中，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#12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</w:p>
    <w:p w14:paraId="1A14EFD4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afterLines="50" w:after="180"/>
        <w:ind w:firstLineChars="200" w:firstLine="400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Abstract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英文摘要內容字數限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250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字以內，字體大小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點，字型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Times New Roman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，單行間距，第一行縮排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字元，左右對齊，與後段距離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0.5</w:t>
      </w:r>
      <w:r w:rsidRPr="00C775C9">
        <w:rPr>
          <w:rFonts w:ascii="Times New Roman" w:eastAsia="標楷體" w:hAnsi="Times New Roman" w:cs="Times New Roman"/>
          <w:kern w:val="0"/>
          <w:sz w:val="20"/>
          <w:szCs w:val="20"/>
        </w:rPr>
        <w:t>行，不貼齊格線。</w:t>
      </w:r>
    </w:p>
    <w:p w14:paraId="3041638B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 w:val="20"/>
          <w:szCs w:val="20"/>
        </w:rPr>
        <w:t>Keywords: Times New Roman, 10 points, Bold, Single space, Three to five keywords</w:t>
      </w:r>
    </w:p>
    <w:p w14:paraId="5794A8EE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bCs/>
          <w:kern w:val="0"/>
        </w:rPr>
      </w:pPr>
      <w:r w:rsidRPr="00C775C9">
        <w:rPr>
          <w:rFonts w:ascii="Times New Roman" w:eastAsia="標楷體" w:hAnsi="Times New Roman" w:cs="Times New Roman"/>
          <w:b/>
          <w:bCs/>
          <w:kern w:val="0"/>
        </w:rPr>
        <w:t>壹、緒論（標楷體，置中，粗體</w:t>
      </w:r>
      <w:r w:rsidRPr="00C775C9">
        <w:rPr>
          <w:rFonts w:ascii="Times New Roman" w:eastAsia="標楷體" w:hAnsi="Times New Roman" w:cs="Times New Roman"/>
          <w:b/>
          <w:bCs/>
          <w:kern w:val="0"/>
        </w:rPr>
        <w:t>#14</w:t>
      </w:r>
      <w:r w:rsidRPr="00C775C9">
        <w:rPr>
          <w:rFonts w:ascii="Times New Roman" w:eastAsia="標楷體" w:hAnsi="Times New Roman" w:cs="Times New Roman"/>
          <w:b/>
          <w:bCs/>
          <w:kern w:val="0"/>
        </w:rPr>
        <w:t>）</w:t>
      </w:r>
    </w:p>
    <w:p w14:paraId="7D219FB4" w14:textId="77777777" w:rsidR="006C166C" w:rsidRPr="00C775C9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kern w:val="0"/>
          <w:szCs w:val="24"/>
        </w:rPr>
        <w:t>論文版面採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A4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大小、單欄格式，以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15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頁（含圖片、表格、參考文獻等）為限，每頁上下緣及左右兩側各留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2.5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公分。各章節標題採單行間距並與前段距離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1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行、與後段距離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0.5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行，其餘內文採單行間距，不貼齊格線。中文字型採用標楷體，英文及數字部分請使用</w:t>
      </w:r>
      <w:r w:rsidRPr="00C775C9">
        <w:rPr>
          <w:rFonts w:ascii="Times New Roman" w:eastAsia="標楷體" w:hAnsi="Times New Roman" w:cs="Times New Roman"/>
          <w:kern w:val="0"/>
          <w:szCs w:val="24"/>
        </w:rPr>
        <w:t xml:space="preserve"> Times New Roman 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字體。內文字型均採用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12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點字型，第一行縮排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2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字元，左右對齊。內文引註請參考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APA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格式。</w:t>
      </w:r>
    </w:p>
    <w:p w14:paraId="0DF8B627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1.1 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章節與小節標題（標楷體，靠左，粗體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#12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</w:p>
    <w:p w14:paraId="1970B017" w14:textId="77777777" w:rsidR="006C166C" w:rsidRPr="00C775C9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kern w:val="0"/>
          <w:szCs w:val="24"/>
        </w:rPr>
        <w:t>次標題靠左對齊，並依序編號。</w:t>
      </w:r>
    </w:p>
    <w:p w14:paraId="1320257F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1.2 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圖片</w:t>
      </w:r>
    </w:p>
    <w:p w14:paraId="534B2305" w14:textId="7647839D" w:rsidR="006C166C" w:rsidRPr="006B6513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B6513">
        <w:rPr>
          <w:rFonts w:ascii="Times New Roman" w:eastAsia="標楷體" w:hAnsi="Times New Roman" w:cs="Times New Roman"/>
          <w:kern w:val="0"/>
          <w:szCs w:val="24"/>
        </w:rPr>
        <w:lastRenderedPageBreak/>
        <w:t>圖標題置於圖片下方置中，</w:t>
      </w:r>
      <w:r w:rsidR="006B6513" w:rsidRPr="006B6513">
        <w:rPr>
          <w:rFonts w:ascii="Times New Roman" w:eastAsia="標楷體" w:hAnsi="Times New Roman" w:cs="Times New Roman"/>
          <w:bCs/>
          <w:kern w:val="0"/>
          <w:szCs w:val="24"/>
        </w:rPr>
        <w:t>粗體</w:t>
      </w:r>
      <w:r w:rsidR="006B6513" w:rsidRPr="006B6513">
        <w:rPr>
          <w:rFonts w:ascii="Times New Roman" w:eastAsia="標楷體" w:hAnsi="Times New Roman" w:cs="Times New Roman"/>
          <w:bCs/>
          <w:kern w:val="0"/>
          <w:szCs w:val="24"/>
        </w:rPr>
        <w:t>#12</w:t>
      </w:r>
      <w:r w:rsidR="006B6513" w:rsidRPr="006B6513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6B6513">
        <w:rPr>
          <w:rFonts w:ascii="Times New Roman" w:eastAsia="標楷體" w:hAnsi="Times New Roman" w:cs="Times New Roman"/>
          <w:kern w:val="0"/>
          <w:szCs w:val="24"/>
        </w:rPr>
        <w:t>並依序編號。</w:t>
      </w:r>
    </w:p>
    <w:p w14:paraId="048B6544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72B88B23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inline distT="0" distB="0" distL="0" distR="0" wp14:anchorId="775A66AA" wp14:editId="622174C7">
                <wp:extent cx="3519376" cy="1488558"/>
                <wp:effectExtent l="0" t="0" r="24130" b="1651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376" cy="148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438F" w14:textId="77777777" w:rsidR="006C166C" w:rsidRDefault="006C166C" w:rsidP="006C16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5A66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77.1pt;height:1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">
                <v:textbox>
                  <w:txbxContent>
                    <w:p w14:paraId="699C438F" w14:textId="77777777" w:rsidR="006C166C" w:rsidRDefault="006C166C" w:rsidP="006C166C"/>
                  </w:txbxContent>
                </v:textbox>
                <w10:anchorlock/>
              </v:shape>
            </w:pict>
          </mc:Fallback>
        </mc:AlternateContent>
      </w:r>
    </w:p>
    <w:p w14:paraId="2CBEA8B7" w14:textId="78260A54" w:rsidR="006C166C" w:rsidRPr="006B6513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6B6513">
        <w:rPr>
          <w:rFonts w:ascii="Times New Roman" w:eastAsia="標楷體" w:hAnsi="Times New Roman" w:cs="Times New Roman"/>
          <w:b/>
          <w:kern w:val="0"/>
          <w:szCs w:val="24"/>
        </w:rPr>
        <w:t>圖</w:t>
      </w:r>
      <w:r w:rsidRPr="006B6513">
        <w:rPr>
          <w:rFonts w:ascii="Times New Roman" w:eastAsia="標楷體" w:hAnsi="Times New Roman" w:cs="Times New Roman"/>
          <w:b/>
          <w:kern w:val="0"/>
          <w:szCs w:val="24"/>
        </w:rPr>
        <w:t>1 XXX</w:t>
      </w:r>
    </w:p>
    <w:p w14:paraId="295B36A5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1.3 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表格</w:t>
      </w:r>
    </w:p>
    <w:p w14:paraId="2B4C1A54" w14:textId="6F7AA956" w:rsidR="006C166C" w:rsidRPr="00C775C9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kern w:val="0"/>
          <w:szCs w:val="24"/>
        </w:rPr>
        <w:t>表格標題必須置於表格上方且置中，</w:t>
      </w:r>
      <w:r w:rsidR="006B6513" w:rsidRPr="006B6513">
        <w:rPr>
          <w:rFonts w:ascii="Times New Roman" w:eastAsia="標楷體" w:hAnsi="Times New Roman" w:cs="Times New Roman"/>
          <w:bCs/>
          <w:kern w:val="0"/>
          <w:szCs w:val="24"/>
        </w:rPr>
        <w:t>粗體</w:t>
      </w:r>
      <w:r w:rsidR="006B6513" w:rsidRPr="006B6513">
        <w:rPr>
          <w:rFonts w:ascii="Times New Roman" w:eastAsia="標楷體" w:hAnsi="Times New Roman" w:cs="Times New Roman"/>
          <w:bCs/>
          <w:kern w:val="0"/>
          <w:szCs w:val="24"/>
        </w:rPr>
        <w:t>#12</w:t>
      </w:r>
      <w:r w:rsidR="006B6513" w:rsidRPr="006B6513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並依序編號。</w:t>
      </w:r>
    </w:p>
    <w:p w14:paraId="219ADFCF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kern w:val="0"/>
          <w:szCs w:val="24"/>
        </w:rPr>
      </w:pPr>
    </w:p>
    <w:p w14:paraId="4D88D321" w14:textId="77777777" w:rsidR="006C166C" w:rsidRPr="006B6513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6B6513">
        <w:rPr>
          <w:rFonts w:ascii="Times New Roman" w:eastAsia="標楷體" w:hAnsi="Times New Roman" w:cs="Times New Roman"/>
          <w:b/>
          <w:kern w:val="0"/>
          <w:szCs w:val="24"/>
        </w:rPr>
        <w:t>表</w:t>
      </w:r>
      <w:r w:rsidRPr="006B6513">
        <w:rPr>
          <w:rFonts w:ascii="Times New Roman" w:eastAsia="標楷體" w:hAnsi="Times New Roman" w:cs="Times New Roman"/>
          <w:b/>
          <w:kern w:val="0"/>
          <w:szCs w:val="24"/>
        </w:rPr>
        <w:t>1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388"/>
        <w:gridCol w:w="1388"/>
      </w:tblGrid>
      <w:tr w:rsidR="006C166C" w:rsidRPr="00C775C9" w14:paraId="0F3F746F" w14:textId="77777777" w:rsidTr="00170F0B">
        <w:trPr>
          <w:trHeight w:val="70"/>
          <w:jc w:val="center"/>
        </w:trPr>
        <w:tc>
          <w:tcPr>
            <w:tcW w:w="1387" w:type="dxa"/>
          </w:tcPr>
          <w:p w14:paraId="1518650B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14:paraId="63E9187B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14:paraId="005D1D73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C166C" w:rsidRPr="00C775C9" w14:paraId="245A8B80" w14:textId="77777777" w:rsidTr="00170F0B">
        <w:trPr>
          <w:jc w:val="center"/>
        </w:trPr>
        <w:tc>
          <w:tcPr>
            <w:tcW w:w="1387" w:type="dxa"/>
          </w:tcPr>
          <w:p w14:paraId="10628DE3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14:paraId="2FE9EADB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14:paraId="3BE391BB" w14:textId="77777777" w:rsidR="006C166C" w:rsidRPr="00C775C9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0A67BCD" w14:textId="77777777" w:rsidR="006C166C" w:rsidRPr="00C775C9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1.4 </w:t>
      </w:r>
      <w:r w:rsidRPr="00C775C9">
        <w:rPr>
          <w:rFonts w:ascii="Times New Roman" w:eastAsia="標楷體" w:hAnsi="Times New Roman" w:cs="Times New Roman"/>
          <w:b/>
          <w:bCs/>
          <w:kern w:val="0"/>
          <w:szCs w:val="24"/>
        </w:rPr>
        <w:t>方程式</w:t>
      </w:r>
    </w:p>
    <w:p w14:paraId="4DE83A31" w14:textId="77777777" w:rsidR="006C166C" w:rsidRPr="00C775C9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kern w:val="0"/>
          <w:szCs w:val="24"/>
        </w:rPr>
        <w:t>方程式與前後段距離各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0.5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行，單行間距，並依序編號，編號靠右對齊。</w:t>
      </w:r>
    </w:p>
    <w:p w14:paraId="610D5805" w14:textId="77777777" w:rsidR="006C166C" w:rsidRPr="00C775C9" w:rsidRDefault="006C166C" w:rsidP="006C166C">
      <w:pPr>
        <w:tabs>
          <w:tab w:val="right" w:pos="9072"/>
        </w:tabs>
        <w:autoSpaceDE w:val="0"/>
        <w:autoSpaceDN w:val="0"/>
        <w:adjustRightInd w:val="0"/>
        <w:snapToGrid w:val="0"/>
        <w:spacing w:beforeLines="50" w:before="180" w:afterLines="50" w:after="180"/>
        <w:ind w:firstLineChars="200" w:firstLine="400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bCs/>
          <w:iCs/>
          <w:position w:val="-10"/>
          <w:sz w:val="20"/>
          <w:szCs w:val="20"/>
        </w:rPr>
        <w:object w:dxaOrig="3200" w:dyaOrig="340" w14:anchorId="3889DB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17.55pt" o:ole="">
            <v:imagedata r:id="rId7" o:title=""/>
          </v:shape>
          <o:OLEObject Type="Embed" ProgID="Equation.3" ShapeID="_x0000_i1025" DrawAspect="Content" ObjectID="_1725279836" r:id="rId8"/>
        </w:object>
      </w:r>
      <w:r w:rsidRPr="00C775C9">
        <w:rPr>
          <w:rFonts w:ascii="Times New Roman" w:eastAsia="標楷體" w:hAnsi="Times New Roman" w:cs="Times New Roman"/>
          <w:kern w:val="0"/>
          <w:szCs w:val="24"/>
        </w:rPr>
        <w:tab/>
        <w:t>(1)</w:t>
      </w:r>
    </w:p>
    <w:p w14:paraId="57F69912" w14:textId="79451C17" w:rsidR="006C166C" w:rsidRPr="00C775C9" w:rsidRDefault="006C166C" w:rsidP="002E1A26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b/>
          <w:bCs/>
          <w:kern w:val="0"/>
        </w:rPr>
      </w:pPr>
      <w:r w:rsidRPr="00C775C9">
        <w:rPr>
          <w:rFonts w:ascii="Times New Roman" w:eastAsia="標楷體" w:hAnsi="Times New Roman" w:cs="Times New Roman"/>
          <w:b/>
          <w:bCs/>
          <w:kern w:val="0"/>
        </w:rPr>
        <w:t>參考文獻（標楷體，粗體</w:t>
      </w:r>
      <w:r w:rsidR="006760E2">
        <w:rPr>
          <w:rFonts w:ascii="Times New Roman" w:eastAsia="標楷體" w:hAnsi="Times New Roman" w:cs="Times New Roman"/>
          <w:b/>
          <w:bCs/>
          <w:kern w:val="0"/>
        </w:rPr>
        <w:t>#12</w:t>
      </w:r>
      <w:r w:rsidRPr="00C775C9">
        <w:rPr>
          <w:rFonts w:ascii="Times New Roman" w:eastAsia="標楷體" w:hAnsi="Times New Roman" w:cs="Times New Roman"/>
          <w:b/>
          <w:bCs/>
          <w:kern w:val="0"/>
        </w:rPr>
        <w:t>）</w:t>
      </w:r>
    </w:p>
    <w:p w14:paraId="2A5B3EE7" w14:textId="0BD7F616" w:rsidR="006C166C" w:rsidRPr="00C775C9" w:rsidRDefault="006C166C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5C9">
        <w:rPr>
          <w:rFonts w:ascii="Times New Roman" w:eastAsia="標楷體" w:hAnsi="Times New Roman" w:cs="Times New Roman"/>
          <w:kern w:val="0"/>
          <w:szCs w:val="24"/>
        </w:rPr>
        <w:t>參考文獻安排順序為中文、西文。中文文獻順序依</w:t>
      </w:r>
      <w:r w:rsidR="006B6513">
        <w:rPr>
          <w:rFonts w:ascii="Times New Roman" w:eastAsia="標楷體" w:hAnsi="Times New Roman" w:cs="Times New Roman" w:hint="eastAsia"/>
          <w:kern w:val="0"/>
          <w:szCs w:val="24"/>
        </w:rPr>
        <w:t>作者姓氏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筆劃由小至大，西文則依</w:t>
      </w:r>
      <w:r w:rsidR="006B6513">
        <w:rPr>
          <w:rFonts w:ascii="Times New Roman" w:eastAsia="標楷體" w:hAnsi="Times New Roman" w:cs="Times New Roman" w:hint="eastAsia"/>
          <w:kern w:val="0"/>
          <w:szCs w:val="24"/>
        </w:rPr>
        <w:t>作者姓氏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字母之先後順序排列。參考文獻之格式請參照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APA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格式，中文字型標楷體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#10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，英文字型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Times New Roman, #10</w:t>
      </w:r>
      <w:r w:rsidRPr="00C775C9">
        <w:rPr>
          <w:rFonts w:ascii="Times New Roman" w:eastAsia="標楷體" w:hAnsi="Times New Roman" w:cs="Times New Roman"/>
          <w:kern w:val="0"/>
          <w:szCs w:val="24"/>
        </w:rPr>
        <w:t>，單行間距。</w:t>
      </w:r>
    </w:p>
    <w:p w14:paraId="0988E4F6" w14:textId="77777777" w:rsidR="006C166C" w:rsidRPr="00C775C9" w:rsidRDefault="006C166C" w:rsidP="006C166C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1413130" w14:textId="315922AB" w:rsidR="0073137C" w:rsidRPr="00084364" w:rsidRDefault="0073137C" w:rsidP="0073137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徐沛然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 xml:space="preserve"> 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(2018)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</w:t>
      </w:r>
      <w:r w:rsidRPr="00084364">
        <w:rPr>
          <w:rFonts w:ascii="Times New Roman" w:eastAsia="標楷體" w:hAnsi="Times New Roman" w:cs="Times New Roman"/>
          <w:b/>
          <w:color w:val="333333"/>
          <w:sz w:val="20"/>
          <w:szCs w:val="20"/>
        </w:rPr>
        <w:t>社企是門好生意？社會企業的批判與反思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。時報出版：台北市。</w:t>
      </w:r>
    </w:p>
    <w:p w14:paraId="17C58CF5" w14:textId="226BAD3B" w:rsidR="006B6513" w:rsidRPr="00084364" w:rsidRDefault="006B6513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陳定銘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 xml:space="preserve"> 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(2018)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。臺灣社會企業社會影響力評估指標之分析。</w:t>
      </w:r>
      <w:r w:rsidRPr="00084364">
        <w:rPr>
          <w:rFonts w:ascii="Times New Roman" w:eastAsia="標楷體" w:hAnsi="Times New Roman" w:cs="Times New Roman" w:hint="eastAsia"/>
          <w:b/>
          <w:color w:val="333333"/>
          <w:sz w:val="20"/>
          <w:szCs w:val="20"/>
        </w:rPr>
        <w:t>第三部門學刊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，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22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，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1-35</w:t>
      </w:r>
      <w:r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</w:t>
      </w:r>
    </w:p>
    <w:p w14:paraId="7E6F1A62" w14:textId="3AC918D0" w:rsidR="006C166C" w:rsidRPr="00084364" w:rsidRDefault="00F074B0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hyperlink r:id="rId9" w:tooltip="黃琇婷" w:history="1">
        <w:r w:rsidR="0073137C" w:rsidRPr="00084364">
          <w:rPr>
            <w:rFonts w:ascii="Times New Roman" w:eastAsia="標楷體" w:hAnsi="Times New Roman" w:cs="Times New Roman"/>
            <w:color w:val="333333"/>
            <w:sz w:val="20"/>
            <w:szCs w:val="20"/>
          </w:rPr>
          <w:t>黃琇婷</w:t>
        </w:r>
      </w:hyperlink>
      <w:r w:rsidR="0073137C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 (20</w:t>
      </w:r>
      <w:r w:rsidR="0073137C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15</w:t>
      </w:r>
      <w:r w:rsidR="006C166C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)</w:t>
      </w:r>
      <w:r w:rsidR="006B6513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</w:t>
      </w:r>
      <w:r w:rsidR="0073137C" w:rsidRPr="00084364">
        <w:rPr>
          <w:rFonts w:ascii="Times New Roman" w:eastAsia="標楷體" w:hAnsi="Times New Roman" w:cs="Times New Roman"/>
          <w:b/>
          <w:color w:val="333333"/>
          <w:sz w:val="20"/>
          <w:szCs w:val="20"/>
        </w:rPr>
        <w:t>企業社會責任、公司治理機制與公司價值之關聯性</w:t>
      </w:r>
      <w:r w:rsidR="0073137C" w:rsidRPr="00084364">
        <w:rPr>
          <w:rFonts w:ascii="Times New Roman" w:eastAsia="標楷體" w:hAnsi="Times New Roman" w:cs="Times New Roman"/>
          <w:b/>
          <w:color w:val="333333"/>
          <w:sz w:val="20"/>
          <w:szCs w:val="20"/>
        </w:rPr>
        <w:t>─</w:t>
      </w:r>
      <w:r w:rsidR="0073137C" w:rsidRPr="00084364">
        <w:rPr>
          <w:rFonts w:ascii="Times New Roman" w:eastAsia="標楷體" w:hAnsi="Times New Roman" w:cs="Times New Roman"/>
          <w:b/>
          <w:color w:val="333333"/>
          <w:sz w:val="20"/>
          <w:szCs w:val="20"/>
        </w:rPr>
        <w:t>以天下企業公民獎之公司為例</w:t>
      </w:r>
      <w:r w:rsidR="006C166C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，國立</w:t>
      </w:r>
      <w:r w:rsidR="0073137C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屏東</w:t>
      </w:r>
      <w:r w:rsidR="006C166C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大學</w:t>
      </w:r>
      <w:r w:rsidR="00A56562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財務金融系</w:t>
      </w:r>
      <w:r w:rsidR="006C166C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碩士論文</w:t>
      </w:r>
      <w:r w:rsidR="006B6513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，</w:t>
      </w:r>
      <w:r w:rsidR="00A56562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屏東縣</w:t>
      </w:r>
      <w:r w:rsidR="006B6513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。</w:t>
      </w:r>
    </w:p>
    <w:p w14:paraId="3E8E1105" w14:textId="041150EA" w:rsidR="006C166C" w:rsidRPr="00084364" w:rsidRDefault="006C166C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Amaeshi, K. M.,</w:t>
      </w:r>
      <w:r w:rsidR="003F24C7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 Osuji, O. K., &amp; Nnodim, P. (20</w:t>
      </w:r>
      <w:r w:rsidR="003F24C7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1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8). Corporate social responsibility in supply chains of global brands: A boundaryless responsibility? Clarifications, exceptions and implications. </w:t>
      </w:r>
      <w:r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Journal of Business Ethics, 81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(1), 223-234.</w:t>
      </w:r>
    </w:p>
    <w:p w14:paraId="6B2FB771" w14:textId="4FC9B71B" w:rsidR="006C166C" w:rsidRDefault="006C166C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Chen, H.-K., </w:t>
      </w:r>
      <w:r w:rsidR="003F24C7"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Hsueh, C.-F., &amp; Hsu, C.-Y. (20</w:t>
      </w:r>
      <w:r w:rsidR="003F24C7" w:rsidRPr="00084364">
        <w:rPr>
          <w:rFonts w:ascii="Times New Roman" w:eastAsia="標楷體" w:hAnsi="Times New Roman" w:cs="Times New Roman" w:hint="eastAsia"/>
          <w:color w:val="333333"/>
          <w:sz w:val="20"/>
          <w:szCs w:val="20"/>
        </w:rPr>
        <w:t>1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9, July). </w:t>
      </w:r>
      <w:r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The vehicle routing problem with variable virtual depots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. Paper presented at the 23rd European Conference on Operational Research, Bonn, Germany.</w:t>
      </w:r>
    </w:p>
    <w:p w14:paraId="088274F5" w14:textId="3AA04525" w:rsidR="002E1A26" w:rsidRPr="00084364" w:rsidRDefault="002E1A26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Hair, J.F., Black, W.C., Babin, B.J., Anderson, R.E., &amp; Tatham, R.L. (2006). </w:t>
      </w:r>
      <w:r w:rsidRPr="002E1A26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Multivariate Data Analysis</w:t>
      </w:r>
      <w:r>
        <w:rPr>
          <w:rFonts w:ascii="Times New Roman" w:eastAsia="標楷體" w:hAnsi="Times New Roman" w:cs="Times New Roman"/>
          <w:color w:val="333333"/>
          <w:sz w:val="20"/>
          <w:szCs w:val="20"/>
        </w:rPr>
        <w:t>, 6</w:t>
      </w:r>
      <w:r w:rsidRPr="002E1A26">
        <w:rPr>
          <w:rFonts w:ascii="Times New Roman" w:eastAsia="標楷體" w:hAnsi="Times New Roman" w:cs="Times New Roman"/>
          <w:color w:val="333333"/>
          <w:sz w:val="20"/>
          <w:szCs w:val="20"/>
          <w:vertAlign w:val="superscript"/>
        </w:rPr>
        <w:t>th</w:t>
      </w:r>
      <w:r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 edition, Pearson: London.</w:t>
      </w:r>
    </w:p>
    <w:p w14:paraId="5183970D" w14:textId="5D378872" w:rsidR="006C166C" w:rsidRPr="00084364" w:rsidRDefault="006C166C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Mcdonalds, A. (1993). Practical methods for the apprehension and sustained containment of supernatural entities. In G. L. Yeager (Ed.), </w:t>
      </w:r>
      <w:r w:rsidR="005F1F19"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Paranormal and O</w:t>
      </w:r>
      <w:r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cc</w:t>
      </w:r>
      <w:r w:rsidR="005F1F19"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 xml:space="preserve">ult Studies: Case </w:t>
      </w:r>
      <w:r w:rsidR="005F1F19" w:rsidRPr="00084364">
        <w:rPr>
          <w:rFonts w:ascii="Times New Roman" w:eastAsia="標楷體" w:hAnsi="Times New Roman" w:cs="Times New Roman" w:hint="eastAsia"/>
          <w:i/>
          <w:color w:val="333333"/>
          <w:sz w:val="20"/>
          <w:szCs w:val="20"/>
        </w:rPr>
        <w:t>S</w:t>
      </w:r>
      <w:r w:rsidR="005F1F19"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tudies in A</w:t>
      </w:r>
      <w:r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pplication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 (pp. 42-64). London: OtherWorld Books.</w:t>
      </w:r>
    </w:p>
    <w:p w14:paraId="76DF80BA" w14:textId="5918E736" w:rsidR="006C166C" w:rsidRPr="00084364" w:rsidRDefault="006C166C" w:rsidP="006C166C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Times New Roman"/>
          <w:color w:val="333333"/>
          <w:sz w:val="20"/>
          <w:szCs w:val="20"/>
        </w:rPr>
      </w:pP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Stephens, P. (2001). </w:t>
      </w:r>
      <w:r w:rsidRPr="00084364">
        <w:rPr>
          <w:rFonts w:ascii="Times New Roman" w:eastAsia="標楷體" w:hAnsi="Times New Roman" w:cs="Times New Roman"/>
          <w:i/>
          <w:color w:val="333333"/>
          <w:sz w:val="20"/>
          <w:szCs w:val="20"/>
        </w:rPr>
        <w:t>Small Business and High Performance Management Practices</w:t>
      </w:r>
      <w:r w:rsidR="002E1A26">
        <w:rPr>
          <w:rFonts w:ascii="Times New Roman" w:eastAsia="標楷體" w:hAnsi="Times New Roman" w:cs="Times New Roman"/>
          <w:color w:val="333333"/>
          <w:sz w:val="20"/>
          <w:szCs w:val="20"/>
        </w:rPr>
        <w:t xml:space="preserve">. Ph. D. </w:t>
      </w:r>
      <w:r w:rsidRPr="00084364">
        <w:rPr>
          <w:rFonts w:ascii="Times New Roman" w:eastAsia="標楷體" w:hAnsi="Times New Roman" w:cs="Times New Roman"/>
          <w:color w:val="333333"/>
          <w:sz w:val="20"/>
          <w:szCs w:val="20"/>
        </w:rPr>
        <w:t>Dissertation, University of Cincinnati.</w:t>
      </w:r>
    </w:p>
    <w:sectPr w:rsidR="006C166C" w:rsidRPr="00084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6307" w14:textId="77777777" w:rsidR="00F074B0" w:rsidRDefault="00F074B0" w:rsidP="006C166C">
      <w:r>
        <w:separator/>
      </w:r>
    </w:p>
  </w:endnote>
  <w:endnote w:type="continuationSeparator" w:id="0">
    <w:p w14:paraId="0A7B81CC" w14:textId="77777777" w:rsidR="00F074B0" w:rsidRDefault="00F074B0" w:rsidP="006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7912A" w14:textId="77777777" w:rsidR="00F074B0" w:rsidRDefault="00F074B0" w:rsidP="006C166C">
      <w:r>
        <w:separator/>
      </w:r>
    </w:p>
  </w:footnote>
  <w:footnote w:type="continuationSeparator" w:id="0">
    <w:p w14:paraId="7185D7A6" w14:textId="77777777" w:rsidR="00F074B0" w:rsidRDefault="00F074B0" w:rsidP="006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146"/>
    <w:multiLevelType w:val="hybridMultilevel"/>
    <w:tmpl w:val="B32627C6"/>
    <w:lvl w:ilvl="0" w:tplc="D78A4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85"/>
    <w:rsid w:val="00084364"/>
    <w:rsid w:val="00157E6F"/>
    <w:rsid w:val="002E1A26"/>
    <w:rsid w:val="0035376D"/>
    <w:rsid w:val="00364FF0"/>
    <w:rsid w:val="003F24C7"/>
    <w:rsid w:val="00447066"/>
    <w:rsid w:val="005F1F19"/>
    <w:rsid w:val="00622A2C"/>
    <w:rsid w:val="006760E2"/>
    <w:rsid w:val="006A151B"/>
    <w:rsid w:val="006B6513"/>
    <w:rsid w:val="006C166C"/>
    <w:rsid w:val="00713624"/>
    <w:rsid w:val="0073137C"/>
    <w:rsid w:val="008243F8"/>
    <w:rsid w:val="00A059CA"/>
    <w:rsid w:val="00A56562"/>
    <w:rsid w:val="00AC23ED"/>
    <w:rsid w:val="00AD10B3"/>
    <w:rsid w:val="00C16785"/>
    <w:rsid w:val="00C433E8"/>
    <w:rsid w:val="00C775C9"/>
    <w:rsid w:val="00D24113"/>
    <w:rsid w:val="00F074B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B3299"/>
  <w15:docId w15:val="{F50B91FC-19AE-445F-A87A-C5E423A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6C"/>
    <w:pPr>
      <w:keepNext/>
      <w:spacing w:before="180" w:after="180" w:line="720" w:lineRule="auto"/>
      <w:outlineLvl w:val="0"/>
    </w:pPr>
    <w:rPr>
      <w:rFonts w:ascii="Cambria" w:eastAsia="標楷體" w:hAnsi="Cambria" w:cs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6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66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C166C"/>
    <w:rPr>
      <w:rFonts w:ascii="Cambria" w:eastAsia="標楷體" w:hAnsi="Cambria" w:cs="Cambria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semiHidden/>
    <w:unhideWhenUsed/>
    <w:rsid w:val="00731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dltd.ncl.edu.tw/cgi-bin/gs32/gsweb.cgi/ccd=fzDMsP/search?q=auc=%22%E9%BB%83%E7%90%87%E5%A9%B7%22.&amp;searchmode=basi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2022-07-25T02:49:00Z</dcterms:created>
  <dcterms:modified xsi:type="dcterms:W3CDTF">2022-09-21T07:37:00Z</dcterms:modified>
</cp:coreProperties>
</file>